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DCCA">
      <w:pPr>
        <w:tabs>
          <w:tab w:val="right" w:pos="9639"/>
        </w:tabs>
        <w:spacing w:after="0"/>
        <w:rPr>
          <w:rFonts w:hint="default" w:ascii="Arial" w:hAnsi="Arial" w:cs="Arial"/>
          <w:b/>
          <w:sz w:val="22"/>
          <w:szCs w:val="22"/>
          <w:lang w:val="en-US"/>
        </w:rPr>
      </w:pPr>
      <w:r>
        <w:rPr>
          <w:rFonts w:ascii="Arial" w:hAnsi="Arial" w:cs="Arial"/>
          <w:b/>
          <w:sz w:val="22"/>
          <w:szCs w:val="22"/>
        </w:rPr>
        <w:t>3GPP TSG-SA3 Meeting #1</w:t>
      </w:r>
      <w:r>
        <w:rPr>
          <w:rFonts w:hint="eastAsia" w:ascii="Arial" w:hAnsi="Arial" w:cs="Arial"/>
          <w:b/>
          <w:sz w:val="22"/>
          <w:szCs w:val="22"/>
          <w:lang w:val="en-US" w:eastAsia="zh-CN"/>
        </w:rPr>
        <w:t>20</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0502</w:t>
      </w:r>
    </w:p>
    <w:p w14:paraId="57BCD62C">
      <w:pPr>
        <w:pStyle w:val="38"/>
        <w:rPr>
          <w:b w:val="0"/>
          <w:bCs/>
          <w:sz w:val="24"/>
          <w:lang w:val="en-US"/>
        </w:rPr>
      </w:pPr>
      <w:r>
        <w:rPr>
          <w:rFonts w:hint="eastAsia" w:cs="Arial"/>
          <w:sz w:val="22"/>
          <w:szCs w:val="22"/>
          <w:lang w:val="en-US" w:eastAsia="zh-CN"/>
        </w:rPr>
        <w:t>Athens</w:t>
      </w:r>
      <w:r>
        <w:rPr>
          <w:rFonts w:cs="Arial"/>
          <w:sz w:val="22"/>
          <w:szCs w:val="22"/>
        </w:rPr>
        <w:t xml:space="preserve">, </w:t>
      </w:r>
      <w:r>
        <w:rPr>
          <w:rFonts w:cs="Arial"/>
          <w:sz w:val="22"/>
          <w:szCs w:val="22"/>
          <w:lang w:val="en-US"/>
        </w:rPr>
        <w:t>Greece,</w:t>
      </w:r>
      <w:r>
        <w:rPr>
          <w:rFonts w:cs="Arial"/>
          <w:sz w:val="22"/>
          <w:szCs w:val="22"/>
        </w:rPr>
        <w:t xml:space="preserve"> 1</w:t>
      </w:r>
      <w:r>
        <w:rPr>
          <w:rFonts w:cs="Arial"/>
          <w:sz w:val="22"/>
          <w:szCs w:val="22"/>
          <w:lang w:val="en-US"/>
        </w:rPr>
        <w:t>7</w:t>
      </w:r>
      <w:r>
        <w:rPr>
          <w:rFonts w:cs="Arial"/>
          <w:sz w:val="22"/>
          <w:szCs w:val="22"/>
        </w:rPr>
        <w:t xml:space="preserve"> - </w:t>
      </w:r>
      <w:r>
        <w:rPr>
          <w:rFonts w:cs="Arial"/>
          <w:sz w:val="22"/>
          <w:szCs w:val="22"/>
          <w:lang w:val="en-US"/>
        </w:rPr>
        <w:t>21</w:t>
      </w:r>
      <w:r>
        <w:rPr>
          <w:rFonts w:cs="Arial"/>
          <w:sz w:val="22"/>
          <w:szCs w:val="22"/>
        </w:rPr>
        <w:t xml:space="preserve"> </w:t>
      </w:r>
      <w:r>
        <w:rPr>
          <w:rFonts w:cs="Arial"/>
          <w:sz w:val="22"/>
          <w:szCs w:val="22"/>
          <w:lang w:val="en-US"/>
        </w:rPr>
        <w:t>February</w:t>
      </w:r>
      <w:r>
        <w:rPr>
          <w:rFonts w:cs="Arial"/>
          <w:sz w:val="22"/>
          <w:szCs w:val="22"/>
        </w:rPr>
        <w:t xml:space="preserve"> 202</w:t>
      </w:r>
      <w:r>
        <w:rPr>
          <w:rFonts w:cs="Arial"/>
          <w:sz w:val="22"/>
          <w:szCs w:val="22"/>
          <w:lang w:val="en-US"/>
        </w:rPr>
        <w:t>5</w:t>
      </w:r>
    </w:p>
    <w:p w14:paraId="02714ACD">
      <w:pPr>
        <w:keepNext/>
        <w:pBdr>
          <w:bottom w:val="single" w:color="auto" w:sz="4" w:space="1"/>
        </w:pBdr>
        <w:tabs>
          <w:tab w:val="right" w:pos="9639"/>
        </w:tabs>
        <w:outlineLvl w:val="0"/>
        <w:rPr>
          <w:rFonts w:ascii="Arial" w:hAnsi="Arial" w:cs="Arial"/>
          <w:b/>
          <w:sz w:val="24"/>
        </w:rPr>
      </w:pPr>
    </w:p>
    <w:p w14:paraId="4F4F54C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Pr>
          <w:rFonts w:ascii="Arial" w:hAnsi="Arial"/>
          <w:b/>
          <w:lang w:val="en-US"/>
        </w:rPr>
        <w:t>Apple</w:t>
      </w:r>
    </w:p>
    <w:bookmarkEnd w:id="0"/>
    <w:p w14:paraId="3173C92F">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on security aspect on</w:t>
      </w:r>
      <w:bookmarkStart w:id="2" w:name="_GoBack"/>
      <w:bookmarkEnd w:id="2"/>
      <w:r>
        <w:rPr>
          <w:rFonts w:ascii="Arial" w:hAnsi="Arial" w:cs="Arial"/>
          <w:b/>
          <w:lang w:val="en-US"/>
        </w:rPr>
        <w:t xml:space="preserve"> </w:t>
      </w:r>
      <w:r>
        <w:rPr>
          <w:rFonts w:hint="eastAsia" w:ascii="Arial" w:hAnsi="Arial" w:cs="Arial"/>
          <w:b/>
          <w:lang w:val="en-US" w:eastAsia="zh-CN"/>
        </w:rPr>
        <w:t>LMF</w:t>
      </w:r>
      <w:r>
        <w:rPr>
          <w:rFonts w:ascii="Arial" w:hAnsi="Arial" w:cs="Arial"/>
          <w:b/>
          <w:lang w:val="en-US" w:eastAsia="zh-CN"/>
        </w:rPr>
        <w:t xml:space="preserve">-based </w:t>
      </w:r>
      <w:r>
        <w:rPr>
          <w:rFonts w:ascii="Arial" w:hAnsi="Arial" w:cs="Arial"/>
          <w:b/>
          <w:lang w:val="en-US"/>
        </w:rPr>
        <w:t>AI/ML positioning</w:t>
      </w:r>
    </w:p>
    <w:p w14:paraId="41F9E2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A7B9419">
      <w:pPr>
        <w:keepNext/>
        <w:pBdr>
          <w:bottom w:val="single" w:color="auto" w:sz="4" w:space="1"/>
        </w:pBdr>
        <w:tabs>
          <w:tab w:val="left" w:pos="2127"/>
        </w:tabs>
        <w:spacing w:after="0"/>
        <w:ind w:left="2126" w:hanging="2126"/>
        <w:rPr>
          <w:rFonts w:hint="default" w:ascii="Arial" w:hAnsi="Arial"/>
          <w:b/>
          <w:bCs/>
          <w:lang w:val="en-US" w:eastAsia="zh-CN"/>
        </w:rPr>
      </w:pPr>
      <w:r>
        <w:rPr>
          <w:rFonts w:ascii="Arial" w:hAnsi="Arial"/>
          <w:b/>
          <w:bCs/>
        </w:rPr>
        <w:t>Agenda Item:</w:t>
      </w:r>
      <w:r>
        <w:tab/>
      </w:r>
      <w:r>
        <w:rPr>
          <w:rFonts w:ascii="Arial" w:hAnsi="Arial"/>
          <w:b/>
          <w:bCs/>
        </w:rPr>
        <w:t>3</w:t>
      </w:r>
      <w:r>
        <w:rPr>
          <w:rFonts w:hint="default" w:ascii="Arial" w:hAnsi="Arial"/>
          <w:b/>
          <w:bCs/>
          <w:lang w:val="en-US"/>
        </w:rPr>
        <w:t>.1</w:t>
      </w:r>
    </w:p>
    <w:p w14:paraId="61ED4218">
      <w:pPr>
        <w:pStyle w:val="2"/>
      </w:pPr>
      <w:r>
        <w:t>1</w:t>
      </w:r>
      <w:r>
        <w:tab/>
      </w:r>
      <w:r>
        <w:t>Decision/action requested</w:t>
      </w:r>
    </w:p>
    <w:p w14:paraId="660D89B4">
      <w:pPr>
        <w:pBdr>
          <w:top w:val="single" w:color="auto" w:sz="4" w:space="1"/>
          <w:left w:val="single" w:color="auto" w:sz="4" w:space="4"/>
          <w:bottom w:val="single" w:color="auto" w:sz="4" w:space="1"/>
          <w:right w:val="single" w:color="auto" w:sz="4" w:space="4"/>
        </w:pBdr>
        <w:shd w:val="clear" w:color="auto" w:fill="FFFF99"/>
        <w:jc w:val="center"/>
        <w:rPr>
          <w:lang w:val="en-US" w:eastAsia="zh-CN"/>
        </w:rPr>
      </w:pPr>
      <w:r>
        <w:rPr>
          <w:b/>
          <w:i/>
        </w:rPr>
        <w:t xml:space="preserve">It is requested to discuss the discussion paper on </w:t>
      </w:r>
      <w:r>
        <w:rPr>
          <w:b/>
          <w:i/>
          <w:lang w:val="en-US"/>
        </w:rPr>
        <w:t>LMF-based AI/ML positioning</w:t>
      </w:r>
    </w:p>
    <w:p w14:paraId="3068A951">
      <w:pPr>
        <w:pStyle w:val="2"/>
      </w:pPr>
      <w:r>
        <w:t>2</w:t>
      </w:r>
      <w:r>
        <w:tab/>
      </w:r>
      <w:r>
        <w:t>References</w:t>
      </w:r>
    </w:p>
    <w:p w14:paraId="3A34439F">
      <w:pPr>
        <w:pStyle w:val="135"/>
        <w:rPr>
          <w:rFonts w:eastAsia="微软雅黑"/>
          <w:lang w:val="en-US" w:eastAsia="zh-CN"/>
        </w:rPr>
      </w:pPr>
      <w:r>
        <w:rPr>
          <w:rFonts w:eastAsia="微软雅黑"/>
        </w:rPr>
        <w:t>[</w:t>
      </w:r>
      <w:r>
        <w:rPr>
          <w:rFonts w:eastAsia="微软雅黑"/>
          <w:lang w:val="en-US"/>
        </w:rPr>
        <w:t>1</w:t>
      </w:r>
      <w:r>
        <w:rPr>
          <w:rFonts w:eastAsia="微软雅黑"/>
        </w:rPr>
        <w:t xml:space="preserve">] </w:t>
      </w:r>
      <w:r>
        <w:rPr>
          <w:rFonts w:eastAsia="微软雅黑"/>
          <w:lang w:val="en-US"/>
        </w:rPr>
        <w:t>S2-</w:t>
      </w:r>
      <w:r>
        <w:rPr>
          <w:rFonts w:hint="eastAsia" w:eastAsia="微软雅黑"/>
          <w:lang w:val="en-US" w:eastAsia="zh-CN"/>
        </w:rPr>
        <w:t>2</w:t>
      </w:r>
      <w:r>
        <w:rPr>
          <w:rFonts w:eastAsia="微软雅黑"/>
          <w:lang w:val="en-US"/>
        </w:rPr>
        <w:t>412940</w:t>
      </w:r>
      <w:r>
        <w:rPr>
          <w:rFonts w:hint="eastAsia" w:eastAsia="微软雅黑"/>
          <w:lang w:val="en-US" w:eastAsia="zh-CN"/>
        </w:rPr>
        <w:t xml:space="preserve"> LS on User Privacy Aspects of LMF-based AI/ML positioning</w:t>
      </w:r>
    </w:p>
    <w:p w14:paraId="0212F146">
      <w:pPr>
        <w:pStyle w:val="135"/>
        <w:rPr>
          <w:rFonts w:eastAsia="微软雅黑"/>
          <w:lang w:val="en-US" w:eastAsia="zh-CN"/>
        </w:rPr>
      </w:pPr>
      <w:r>
        <w:rPr>
          <w:rFonts w:eastAsia="微软雅黑"/>
          <w:lang w:val="en-US" w:eastAsia="zh-CN"/>
        </w:rPr>
        <w:t>[2] TS 23.271 Functional stage 2 description of Location Services (LCS)</w:t>
      </w:r>
    </w:p>
    <w:p w14:paraId="2BBEBAFC">
      <w:pPr>
        <w:pStyle w:val="135"/>
        <w:rPr>
          <w:rFonts w:eastAsia="微软雅黑"/>
          <w:lang w:val="en-US" w:eastAsia="zh-CN"/>
        </w:rPr>
      </w:pPr>
      <w:r>
        <w:rPr>
          <w:rFonts w:eastAsia="微软雅黑"/>
          <w:lang w:val="en-US" w:eastAsia="zh-CN"/>
        </w:rPr>
        <w:t>[3] TS 23.273 5G System (5GS) Location Services (LCS); Stage 2</w:t>
      </w:r>
    </w:p>
    <w:p w14:paraId="4F182400">
      <w:pPr>
        <w:pStyle w:val="135"/>
        <w:rPr>
          <w:rFonts w:eastAsia="微软雅黑"/>
          <w:lang w:val="en-US" w:eastAsia="zh-CN"/>
        </w:rPr>
      </w:pPr>
      <w:r>
        <w:rPr>
          <w:rFonts w:eastAsia="微软雅黑"/>
          <w:lang w:val="en-US" w:eastAsia="zh-CN"/>
        </w:rPr>
        <w:t>[4] TR 33.784 Study on security aspects of Core Network Enhanced Support for AIML</w:t>
      </w:r>
    </w:p>
    <w:p w14:paraId="6C29E54B">
      <w:pPr>
        <w:keepNext/>
        <w:keepLines/>
        <w:pBdr>
          <w:top w:val="single" w:color="auto"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rPr>
        <w:t>Rationale</w:t>
      </w:r>
    </w:p>
    <w:p w14:paraId="1E4E7186">
      <w:pPr>
        <w:spacing w:before="100" w:beforeAutospacing="1" w:after="100" w:afterAutospacing="1"/>
        <w:rPr>
          <w:rFonts w:eastAsia="Times New Roman"/>
          <w:sz w:val="24"/>
          <w:szCs w:val="24"/>
          <w:lang w:val="en-US"/>
        </w:rPr>
      </w:pPr>
      <w:r>
        <w:rPr>
          <w:rFonts w:eastAsia="Times New Roman"/>
          <w:lang w:val="en-US"/>
        </w:rPr>
        <w:t>SA2 LS analysis and propose a way forward</w:t>
      </w:r>
      <w:r>
        <w:rPr>
          <w:rFonts w:eastAsia="Times New Roman"/>
          <w:sz w:val="24"/>
          <w:szCs w:val="24"/>
          <w:lang w:val="en-US"/>
        </w:rPr>
        <w:t>.</w:t>
      </w:r>
    </w:p>
    <w:p w14:paraId="4265DE26">
      <w:pPr>
        <w:pStyle w:val="2"/>
      </w:pPr>
      <w:r>
        <w:t>4</w:t>
      </w:r>
      <w:r>
        <w:tab/>
      </w:r>
      <w:r>
        <w:t>Detailed proposal</w:t>
      </w:r>
    </w:p>
    <w:p w14:paraId="590821AF">
      <w:pPr>
        <w:pStyle w:val="3"/>
        <w:rPr>
          <w:lang w:eastAsia="en-IN"/>
        </w:rPr>
      </w:pPr>
      <w:bookmarkStart w:id="1" w:name="_Toc107949223"/>
      <w:r>
        <w:rPr>
          <w:lang w:eastAsia="en-IN"/>
        </w:rPr>
        <w:t xml:space="preserve">4.1 </w:t>
      </w:r>
      <w:r>
        <w:rPr>
          <w:rFonts w:hint="default"/>
          <w:lang w:val="en-US" w:eastAsia="en-IN"/>
        </w:rPr>
        <w:tab/>
      </w:r>
      <w:r>
        <w:rPr>
          <w:lang w:eastAsia="en-IN"/>
        </w:rPr>
        <w:t xml:space="preserve">Background </w:t>
      </w:r>
    </w:p>
    <w:p w14:paraId="28011429">
      <w:pPr>
        <w:pStyle w:val="4"/>
        <w:rPr>
          <w:lang w:val="en-US" w:eastAsia="en-IN"/>
        </w:rPr>
      </w:pPr>
      <w:r>
        <w:rPr>
          <w:lang w:eastAsia="en-IN"/>
        </w:rPr>
        <w:t xml:space="preserve">4.1.1 </w:t>
      </w:r>
      <w:r>
        <w:rPr>
          <w:rFonts w:hint="default"/>
          <w:lang w:val="en-US" w:eastAsia="en-IN"/>
        </w:rPr>
        <w:tab/>
      </w:r>
      <w:r>
        <w:rPr>
          <w:lang w:val="en-US" w:eastAsia="en-IN"/>
        </w:rPr>
        <w:t>SA2 LS on User Privacy Aspects of LMF-based AI/ML positioning</w:t>
      </w:r>
    </w:p>
    <w:p w14:paraId="4C6F3DB7">
      <w:pPr>
        <w:rPr>
          <w:lang w:val="en-US" w:eastAsia="zh-CN"/>
        </w:rPr>
      </w:pPr>
      <w:r>
        <w:rPr>
          <w:lang w:eastAsia="en-IN"/>
        </w:rPr>
        <w:t>S</w:t>
      </w:r>
      <w:r>
        <w:rPr>
          <w:lang w:val="en-US" w:eastAsia="en-IN"/>
        </w:rPr>
        <w:t xml:space="preserve">A2 sent LS to SA3 on the user privacy aspect of LMF-based AI/ML positioning, requesting SA3 the question: </w:t>
      </w:r>
      <w:r>
        <w:rPr>
          <w:lang w:val="en-US" w:eastAsia="zh-CN"/>
        </w:rPr>
        <w:t>when the LCS privacy profile is checked, whether user consent check is required or not.</w:t>
      </w:r>
    </w:p>
    <w:p w14:paraId="629F60A2">
      <w:pPr>
        <w:rPr>
          <w:rFonts w:ascii="Arial" w:hAnsi="Arial"/>
          <w:sz w:val="28"/>
          <w:lang w:val="en-US" w:eastAsia="en-IN"/>
        </w:rPr>
      </w:pPr>
      <w:r>
        <w:rPr>
          <w:rFonts w:ascii="Arial" w:hAnsi="Arial"/>
          <w:sz w:val="28"/>
          <w:lang w:eastAsia="en-IN"/>
        </w:rPr>
        <w:t>4.1.</w:t>
      </w:r>
      <w:r>
        <w:rPr>
          <w:rFonts w:ascii="Arial" w:hAnsi="Arial"/>
          <w:sz w:val="28"/>
          <w:lang w:val="en-US" w:eastAsia="en-IN"/>
        </w:rPr>
        <w:t>2</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SA2 Privacy profile</w:t>
      </w:r>
    </w:p>
    <w:p w14:paraId="174B07D0">
      <w:pPr>
        <w:rPr>
          <w:lang w:val="en-US" w:eastAsia="zh-CN"/>
        </w:rPr>
      </w:pPr>
      <w:r>
        <w:rPr>
          <w:lang w:val="en-US" w:eastAsia="zh-CN"/>
        </w:rPr>
        <w:t xml:space="preserve">In TS 23.271, the Subscriber LCS privacy profile is defined. In TS 23.273, the privacy profile was continued to be used with some change. </w:t>
      </w:r>
    </w:p>
    <w:p w14:paraId="34776BB0">
      <w:pPr>
        <w:rPr>
          <w:lang w:eastAsia="zh-CN"/>
        </w:rPr>
      </w:pPr>
      <w:r>
        <w:rPr>
          <w:lang w:eastAsia="zh-CN"/>
        </w:rPr>
        <w:t>UE LCS privacy is a feature which allows a UE and/or AF to control which LCS clients and AFs are and are not allowed access to UE location information. UE LCS privacy can be supported via subscription and via UE LCS privacy profile handling.With subscription, privacy preferences for a UE are stored in a UE LCS privacy profile as part of UE subscription data in the UDM and queried from the UDM by another NF such as GMLC or NEF.</w:t>
      </w:r>
    </w:p>
    <w:p w14:paraId="646B1075">
      <w:pPr>
        <w:rPr>
          <w:lang w:val="en-US" w:eastAsia="zh-CN"/>
        </w:rPr>
      </w:pPr>
      <w:r>
        <w:rPr>
          <w:lang w:val="en-US" w:eastAsia="zh-CN"/>
        </w:rPr>
        <w:t>In TS 23.273, t</w:t>
      </w:r>
      <w:r>
        <w:rPr>
          <w:lang w:eastAsia="zh-CN"/>
        </w:rPr>
        <w:t>he UE LCS privacy profile shall include</w:t>
      </w:r>
      <w:r>
        <w:rPr>
          <w:lang w:val="en-US" w:eastAsia="zh-CN"/>
        </w:rPr>
        <w:t xml:space="preserve"> below information: </w:t>
      </w:r>
    </w:p>
    <w:p w14:paraId="7A634A51">
      <w:pPr>
        <w:rPr>
          <w:lang w:val="en-US" w:eastAsia="zh-CN"/>
        </w:rPr>
      </w:pPr>
      <w:r>
        <w:rPr>
          <w:lang w:val="en-US" w:eastAsia="zh-CN"/>
        </w:rPr>
        <w:t xml:space="preserve">- </w:t>
      </w:r>
      <w:r>
        <w:rPr>
          <w:lang w:eastAsia="zh-CN"/>
        </w:rPr>
        <w:t xml:space="preserve"> information related to classes of LCS client, referred to as "privacy classes"</w:t>
      </w:r>
      <w:r>
        <w:rPr>
          <w:rFonts w:hint="default"/>
          <w:lang w:val="en-US" w:eastAsia="zh-CN"/>
        </w:rPr>
        <w:t>,</w:t>
      </w:r>
      <w:r>
        <w:rPr>
          <w:lang w:val="en-US" w:eastAsia="zh-CN"/>
        </w:rPr>
        <w:t xml:space="preserve"> there are 4 classes: </w:t>
      </w:r>
    </w:p>
    <w:p w14:paraId="4E270241">
      <w:pPr>
        <w:numPr>
          <w:ilvl w:val="0"/>
          <w:numId w:val="4"/>
        </w:numPr>
        <w:ind w:firstLine="284"/>
        <w:rPr>
          <w:lang w:val="en-US" w:eastAsia="zh-CN"/>
        </w:rPr>
      </w:pPr>
      <w:r>
        <w:rPr>
          <w:lang w:val="en-US" w:eastAsia="zh-CN"/>
        </w:rPr>
        <w:t xml:space="preserve">universal class, for which the positioning is allowed for all the LCS clients (not applicable in TS 23.273), </w:t>
      </w:r>
    </w:p>
    <w:p w14:paraId="498E68FB">
      <w:pPr>
        <w:numPr>
          <w:ilvl w:val="0"/>
          <w:numId w:val="4"/>
        </w:numPr>
        <w:ind w:firstLine="284"/>
      </w:pPr>
      <w:r>
        <w:t>Call/Session related Class</w:t>
      </w:r>
      <w:r>
        <w:rPr>
          <w:lang w:val="en-US" w:eastAsia="zh-CN"/>
        </w:rPr>
        <w:t>(not applicable in TS 23.273)</w:t>
      </w:r>
      <w:r>
        <w:rPr>
          <w:lang w:val="en-US"/>
        </w:rPr>
        <w:t>, which a</w:t>
      </w:r>
      <w:r>
        <w:t>llow</w:t>
      </w:r>
      <w:r>
        <w:rPr>
          <w:lang w:val="en-US"/>
        </w:rPr>
        <w:t>s</w:t>
      </w:r>
      <w:r>
        <w:t xml:space="preserve"> positioning by specific identified value added LCS client or groups of value added LCS Client to which the UE originated a call in CS domain or a value added LCS client with which the UE has a session via an active PDP context in PS domain indicated by a specific APN-NI</w:t>
      </w:r>
      <w:r>
        <w:rPr>
          <w:lang w:val="en-US"/>
        </w:rPr>
        <w:t xml:space="preserve"> </w:t>
      </w:r>
    </w:p>
    <w:p w14:paraId="775E3833">
      <w:pPr>
        <w:numPr>
          <w:ilvl w:val="0"/>
          <w:numId w:val="4"/>
        </w:numPr>
        <w:ind w:firstLine="284"/>
        <w:rPr>
          <w:b/>
        </w:rPr>
      </w:pPr>
      <w:r>
        <w:t xml:space="preserve">Call/Session </w:t>
      </w:r>
      <w:r>
        <w:rPr>
          <w:lang w:val="en-US"/>
        </w:rPr>
        <w:t>un</w:t>
      </w:r>
      <w:r>
        <w:t>related Class</w:t>
      </w:r>
      <w:r>
        <w:rPr>
          <w:lang w:val="en-US"/>
        </w:rPr>
        <w:t xml:space="preserve">. If UE subscriber to this calsee, </w:t>
      </w:r>
      <w:r>
        <w:t>the CS-MT-LR/PS-MT-LR/EPC-MT-LR or NI-LR/PS-NI-LR positioning is allowed in</w:t>
      </w:r>
      <w:r>
        <w:rPr>
          <w:lang w:val="en-US"/>
        </w:rPr>
        <w:t xml:space="preserve"> defined</w:t>
      </w:r>
      <w:r>
        <w:t xml:space="preserve"> cases</w:t>
      </w:r>
      <w:r>
        <w:rPr>
          <w:lang w:val="en-US"/>
        </w:rPr>
        <w:t xml:space="preserve">. </w:t>
      </w:r>
    </w:p>
    <w:p w14:paraId="749F069E">
      <w:pPr>
        <w:numPr>
          <w:ilvl w:val="0"/>
          <w:numId w:val="4"/>
        </w:numPr>
        <w:ind w:firstLine="284"/>
        <w:rPr>
          <w:b/>
        </w:rPr>
      </w:pPr>
      <w:r>
        <w:rPr>
          <w:lang w:eastAsia="zh-CN"/>
        </w:rPr>
        <w:t xml:space="preserve">PLMN operator </w:t>
      </w:r>
      <w:r>
        <w:t>Class</w:t>
      </w:r>
      <w:r>
        <w:rPr>
          <w:lang w:val="en-US"/>
        </w:rPr>
        <w:t xml:space="preserve">. </w:t>
      </w:r>
      <w:r>
        <w:t>When the user of the UE subscribes to the " PLMN operator Class"</w:t>
      </w:r>
      <w:r>
        <w:rPr>
          <w:lang w:val="en-US"/>
        </w:rPr>
        <w:t xml:space="preserve">, </w:t>
      </w:r>
      <w:r>
        <w:t xml:space="preserve">the CS-MT-LR/PS-MT-LR or NI-LR/PS-NI-LR positioning is allowed in </w:t>
      </w:r>
      <w:r>
        <w:rPr>
          <w:lang w:val="en-US"/>
        </w:rPr>
        <w:t>defined</w:t>
      </w:r>
      <w:r>
        <w:t xml:space="preserve"> case</w:t>
      </w:r>
      <w:r>
        <w:rPr>
          <w:lang w:val="en-US"/>
        </w:rPr>
        <w:t xml:space="preserve">s. </w:t>
      </w:r>
    </w:p>
    <w:p w14:paraId="13CDD29D">
      <w:pPr>
        <w:rPr>
          <w:lang w:val="en-US" w:eastAsia="zh-CN"/>
        </w:rPr>
      </w:pPr>
      <w:r>
        <w:rPr>
          <w:lang w:val="en-US" w:eastAsia="zh-CN"/>
        </w:rPr>
        <w:t xml:space="preserve">- </w:t>
      </w:r>
      <w:r>
        <w:rPr>
          <w:lang w:eastAsia="zh-CN"/>
        </w:rPr>
        <w:t>Location Privacy Indication, as defined in clause 5.4.2.3, which can be provided and updated by the UE and/or AFs</w:t>
      </w:r>
      <w:r>
        <w:rPr>
          <w:lang w:val="en-US" w:eastAsia="zh-CN"/>
        </w:rPr>
        <w:t>;</w:t>
      </w:r>
      <w:r>
        <w:rPr>
          <w:lang w:eastAsia="zh-CN"/>
        </w:rPr>
        <w:t>The LPI takes precedence on the subscribed privacy classes as defined in clause 5.4.2.2. The LPI allows a UE to override the location preference of the subscribed privacy classes.</w:t>
      </w:r>
    </w:p>
    <w:p w14:paraId="5A158436">
      <w:pPr>
        <w:rPr>
          <w:lang w:val="en-US" w:eastAsia="zh-CN"/>
        </w:rPr>
      </w:pPr>
      <w:r>
        <w:rPr>
          <w:lang w:val="en-US" w:eastAsia="zh-CN"/>
        </w:rPr>
        <w:t xml:space="preserve">In summary, the privacy profile provides the information whether the location of a specific UE could be shared with  any LCS clients. </w:t>
      </w:r>
    </w:p>
    <w:p w14:paraId="067DE7C8">
      <w:pPr>
        <w:rPr>
          <w:lang w:val="en-US" w:eastAsia="zh-CN"/>
        </w:rPr>
      </w:pPr>
      <w:r>
        <w:rPr>
          <w:lang w:eastAsia="zh-CN"/>
        </w:rPr>
        <w:t xml:space="preserve">A generation or change to the </w:t>
      </w:r>
      <w:r>
        <w:rPr>
          <w:rFonts w:hint="eastAsia"/>
          <w:lang w:eastAsia="zh-CN"/>
        </w:rPr>
        <w:t>LPI in UE</w:t>
      </w:r>
      <w:r>
        <w:rPr>
          <w:lang w:eastAsia="zh-CN"/>
        </w:rPr>
        <w:t xml:space="preserve"> LCS privacy profile is determined by the UE and provided to the network using N1 NAS message. It may be updated by UE any time.</w:t>
      </w:r>
      <w:r>
        <w:rPr>
          <w:lang w:val="en-US" w:eastAsia="zh-CN"/>
        </w:rPr>
        <w:t xml:space="preserve"> </w:t>
      </w:r>
      <w:r>
        <w:rPr>
          <w:lang w:eastAsia="zh-CN"/>
        </w:rPr>
        <w:t xml:space="preserve">The updated profile is stored into the UDR by the UDM after the interaction with the AMF. </w:t>
      </w:r>
      <w:r>
        <w:rPr>
          <w:lang w:val="en-US" w:eastAsia="zh-CN"/>
        </w:rPr>
        <w:t xml:space="preserve">When the privacy profile is updated, </w:t>
      </w:r>
      <w:r>
        <w:rPr>
          <w:lang w:eastAsia="zh-CN"/>
        </w:rPr>
        <w:t>a notification is sent by the UDM in order to notify the subscribed consumer i.e. GMLC and NEF about the change of UE LCS privacy profile</w:t>
      </w:r>
      <w:r>
        <w:rPr>
          <w:lang w:val="en-US" w:eastAsia="zh-CN"/>
        </w:rPr>
        <w:t xml:space="preserve">. </w:t>
      </w:r>
      <w:r>
        <w:rPr>
          <w:lang w:eastAsia="zh-CN"/>
        </w:rPr>
        <w:t>The LPI in UE LCS privacy profile may be provided or updated by the target UE during the 5GC-MT-LR and Deferred 5GC-MT-LR Procedure for Periodic, Triggered and UE Available Location Events.</w:t>
      </w:r>
    </w:p>
    <w:p w14:paraId="2731A72B">
      <w:pPr>
        <w:rPr>
          <w:lang w:val="en-US" w:eastAsia="zh-CN"/>
        </w:rPr>
      </w:pPr>
      <w:r>
        <w:rPr>
          <w:rFonts w:ascii="Arial" w:hAnsi="Arial"/>
          <w:sz w:val="28"/>
          <w:lang w:eastAsia="en-IN"/>
        </w:rPr>
        <w:t>4.1.</w:t>
      </w:r>
      <w:r>
        <w:rPr>
          <w:rFonts w:ascii="Arial" w:hAnsi="Arial"/>
          <w:sz w:val="28"/>
          <w:lang w:val="en-US" w:eastAsia="en-IN"/>
        </w:rPr>
        <w:t>3</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SA3 progress on AI/ML</w:t>
      </w:r>
    </w:p>
    <w:p w14:paraId="36E6E959">
      <w:pPr>
        <w:rPr>
          <w:lang w:val="en-US"/>
        </w:rPr>
      </w:pPr>
      <w:r>
        <w:rPr>
          <w:lang w:val="en-US" w:eastAsia="zh-CN"/>
        </w:rPr>
        <w:t>SA3 has concluded in the TR 33.784 on the key issue#1 “S</w:t>
      </w:r>
      <w:r>
        <w:t>ecurity</w:t>
      </w:r>
      <w:r>
        <w:rPr>
          <w:rFonts w:hint="eastAsia"/>
        </w:rPr>
        <w:t xml:space="preserve"> aspects on enhancements to LCS to support AIML</w:t>
      </w:r>
      <w:r>
        <w:rPr>
          <w:lang w:val="en-US"/>
        </w:rPr>
        <w:t xml:space="preserve">”, the following: </w:t>
      </w:r>
    </w:p>
    <w:p w14:paraId="5392D52C">
      <w:pPr>
        <w:rPr>
          <w:lang w:val="en-US"/>
        </w:rPr>
      </w:pPr>
      <w:r>
        <w:rPr>
          <w:lang w:val="en-US"/>
        </w:rPr>
        <w:t>“</w:t>
      </w:r>
      <w:r>
        <w:t>Regarding user consent aspect for LMF-based AI/ML model positioning, it is concluded that Annex V of TS 33.501 [5] will be re-used as done in TS 23.288 [7]; thus, there is no normative work required.</w:t>
      </w:r>
      <w:r>
        <w:rPr>
          <w:lang w:val="en-US"/>
        </w:rPr>
        <w:t>”</w:t>
      </w:r>
    </w:p>
    <w:p w14:paraId="4308CAA8">
      <w:pPr>
        <w:rPr>
          <w:lang w:val="en-US" w:eastAsia="zh-CN"/>
        </w:rPr>
      </w:pPr>
      <w:r>
        <w:rPr>
          <w:lang w:val="en-US" w:eastAsia="zh-CN"/>
        </w:rPr>
        <w:t xml:space="preserve">In TS 33.501 Annex V, the user consent requirements are defined as below: </w:t>
      </w:r>
    </w:p>
    <w:p w14:paraId="4353686C">
      <w:r>
        <w:rPr>
          <w:lang w:val="en-US"/>
        </w:rPr>
        <w:t>“</w:t>
      </w:r>
      <w:r>
        <w:t>The user consent parameters shall be stored in the UDM/UDR as subscription data.</w:t>
      </w:r>
    </w:p>
    <w:p w14:paraId="71D9C575">
      <w:r>
        <w:t>The user consent parameters shall be bound to a SUPI/GPSI.</w:t>
      </w:r>
    </w:p>
    <w:p w14:paraId="4A790B9F">
      <w:r>
        <w:t>The user consent parameters shall be bound to the purpose of data processing.</w:t>
      </w:r>
    </w:p>
    <w:p w14:paraId="20BF9ED1">
      <w:r>
        <w:t>The user consent parameters shall include whether the user consent is granted or not.</w:t>
      </w:r>
    </w:p>
    <w:p w14:paraId="723C7969">
      <w:pPr>
        <w:rPr>
          <w:rFonts w:eastAsia="DengXian"/>
          <w:lang w:val="en-US" w:eastAsia="zh-CN"/>
        </w:rPr>
      </w:pPr>
      <w:r>
        <w:t xml:space="preserve">The user consent shall be effective only after the point in time that user consent was given. </w:t>
      </w:r>
      <w:r>
        <w:rPr>
          <w:rFonts w:eastAsia="DengXian"/>
          <w:lang w:val="en-US" w:eastAsia="zh-CN"/>
        </w:rPr>
        <w:t>The user consent shall be effective until revoked. It means that there is no expiry/validity timer for the user consent parameters stored in the subscription data.”</w:t>
      </w:r>
    </w:p>
    <w:p w14:paraId="150AA7E9">
      <w:pPr>
        <w:rPr>
          <w:lang w:val="en-US"/>
        </w:rPr>
      </w:pPr>
      <w:r>
        <w:rPr>
          <w:lang w:val="en-US" w:eastAsia="zh-CN"/>
        </w:rPr>
        <w:t xml:space="preserve">It is assumed that the user consent is obtained from the end-users. </w:t>
      </w:r>
      <w:r>
        <w:rPr>
          <w:lang w:val="en-US"/>
        </w:rPr>
        <w:t xml:space="preserve">The end-user(s) is the subscriber itself or authorize the subscriber to provide consent on behalf of the end-users. There is no clear procedure on how the user consent is collected before stored into the UDM, but it is obviously different with the configuration of privacy profile. </w:t>
      </w:r>
    </w:p>
    <w:p w14:paraId="17CE29D4">
      <w:pPr>
        <w:rPr>
          <w:rFonts w:eastAsia="DengXian"/>
          <w:lang w:val="en-US" w:eastAsia="zh-CN"/>
        </w:rPr>
      </w:pPr>
      <w:r>
        <w:rPr>
          <w:lang w:val="en-US"/>
        </w:rPr>
        <w:t xml:space="preserve">In addition, the purpose of user consent is critical as also defined </w:t>
      </w:r>
      <w:r>
        <w:rPr>
          <w:lang w:val="en-US" w:eastAsia="zh-CN"/>
        </w:rPr>
        <w:t>in TS 33.501 Annex V:</w:t>
      </w:r>
    </w:p>
    <w:p w14:paraId="54D8455F">
      <w:pPr>
        <w:rPr>
          <w:rFonts w:eastAsia="DengXian"/>
          <w:lang w:val="en-US" w:eastAsia="zh-CN"/>
        </w:rPr>
      </w:pPr>
      <w:r>
        <w:rPr>
          <w:rFonts w:eastAsia="DengXian"/>
          <w:lang w:val="en-US" w:eastAsia="zh-CN"/>
        </w:rPr>
        <w:t>“</w:t>
      </w:r>
      <w:r>
        <w:t>Any NF that is deemed an enforcement point for user consent shall determine the purpose of data processing prior to the data processing. If the purpose of data processing is not implicitly known from the service request, the user consent enforcement point shall request it or otherwise deny the service.</w:t>
      </w:r>
      <w:r>
        <w:rPr>
          <w:rFonts w:eastAsia="DengXian"/>
          <w:lang w:val="en-US" w:eastAsia="zh-CN"/>
        </w:rPr>
        <w:t>”</w:t>
      </w:r>
    </w:p>
    <w:p w14:paraId="7BDE2D1B">
      <w:pPr>
        <w:rPr>
          <w:rFonts w:eastAsia="宋体"/>
          <w:lang w:val="en-GB" w:eastAsia="zh-CN"/>
        </w:rPr>
      </w:pPr>
      <w:r>
        <w:rPr>
          <w:rFonts w:eastAsia="DengXian"/>
          <w:lang w:val="en-US" w:eastAsia="zh-CN"/>
        </w:rPr>
        <w:t>In TS 23.502, user consent purposes of analytics and model training are specified as part of UE subscription data.</w:t>
      </w:r>
    </w:p>
    <w:p w14:paraId="07EA4267">
      <w:pPr>
        <w:rPr>
          <w:lang w:val="en-US"/>
        </w:rPr>
      </w:pPr>
      <w:r>
        <w:rPr>
          <w:rFonts w:ascii="Arial" w:hAnsi="Arial"/>
          <w:sz w:val="28"/>
          <w:lang w:eastAsia="en-IN"/>
        </w:rPr>
        <w:t>4.1.</w:t>
      </w:r>
      <w:r>
        <w:rPr>
          <w:rFonts w:ascii="Arial" w:hAnsi="Arial"/>
          <w:sz w:val="28"/>
          <w:lang w:val="en-US" w:eastAsia="en-IN"/>
        </w:rPr>
        <w:t>4</w:t>
      </w:r>
      <w:r>
        <w:rPr>
          <w:rFonts w:ascii="Arial" w:hAnsi="Arial"/>
          <w:sz w:val="28"/>
          <w:lang w:eastAsia="en-IN"/>
        </w:rPr>
        <w:t xml:space="preserve"> </w:t>
      </w:r>
      <w:r>
        <w:rPr>
          <w:rFonts w:hint="default" w:ascii="Arial" w:hAnsi="Arial"/>
          <w:sz w:val="28"/>
          <w:lang w:val="en-US" w:eastAsia="en-IN"/>
        </w:rPr>
        <w:tab/>
      </w:r>
      <w:r>
        <w:rPr>
          <w:rFonts w:ascii="Arial" w:hAnsi="Arial"/>
          <w:sz w:val="28"/>
          <w:lang w:val="en-US" w:eastAsia="en-IN"/>
        </w:rPr>
        <w:t>Comparison between user consent and privacy profile</w:t>
      </w:r>
    </w:p>
    <w:p w14:paraId="41022AAE">
      <w:pPr>
        <w:rPr>
          <w:lang w:val="en-US" w:eastAsia="zh-CN"/>
        </w:rPr>
      </w:pPr>
      <w:r>
        <w:rPr>
          <w:lang w:val="en-US" w:eastAsia="zh-CN"/>
        </w:rPr>
        <w:t xml:space="preserve">There are some differences between user consent and privacy profile. Firstly, user consent covers all the data processing for any NF, while the privacy profile is related with the LCS services only, so user consent is more generic. Secondly, there is no clear procedure defined in 3GPP to collect the user consent and store it in UDM, but it can be assumed that the consent shall be collected when the subscription data is established, while the privacy profile is </w:t>
      </w:r>
      <w:r>
        <w:rPr>
          <w:lang w:eastAsia="zh-CN"/>
        </w:rPr>
        <w:t>provided to the network using N1 NAS message</w:t>
      </w:r>
      <w:r>
        <w:rPr>
          <w:lang w:val="en-US" w:eastAsia="zh-CN"/>
        </w:rPr>
        <w:t>, based on TS 23.273. Thirdly, the user consent is assumed to be obtained from the users, while the privacy profile LPI can be also provisioned by a</w:t>
      </w:r>
      <w:r>
        <w:rPr>
          <w:lang w:eastAsia="zh-CN"/>
        </w:rPr>
        <w:t>n authorized AF for specific UE(s) via NEF. Finally, user consent is bound to a specific purpose while the privacy profile is not.</w:t>
      </w:r>
    </w:p>
    <w:p w14:paraId="0B2C3712">
      <w:pPr>
        <w:rPr>
          <w:rFonts w:hint="default" w:ascii="Times New Roman Bold" w:hAnsi="Times New Roman Bold" w:cs="Times New Roman Bold"/>
          <w:b/>
          <w:bCs/>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1</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b/>
          <w:bCs/>
        </w:rPr>
        <w:t xml:space="preserve">The user consent </w:t>
      </w:r>
      <w:r>
        <w:rPr>
          <w:rFonts w:hint="default" w:ascii="Times New Roman Bold" w:hAnsi="Times New Roman Bold" w:cs="Times New Roman Bold"/>
          <w:b/>
          <w:bCs/>
          <w:lang w:val="en-US"/>
        </w:rPr>
        <w:t>and privacy profile are both essential and different mechanisms to preserve privacy and can not be mixed together.</w:t>
      </w:r>
    </w:p>
    <w:p w14:paraId="3A49698F">
      <w:pPr>
        <w:rPr>
          <w:lang w:val="en-US" w:eastAsia="zh-CN"/>
        </w:rPr>
      </w:pPr>
      <w:r>
        <w:rPr>
          <w:lang w:val="en-US" w:eastAsia="zh-CN"/>
        </w:rPr>
        <w:t>The privacy profile is collected or updated during the LCS procedure through NAS message, or could be updated by the authorized AF. The user consent is assumed to be obtained from the end-user and always tied in the subscription information (TS 33.501), it can be reasonable assumed that user consent is stored in UDM since the subscription information is established. If the end users only update one of them, then there might be misalignment among the consent /permission to share data/location information. In that case, the most stringent permission should prevail.</w:t>
      </w:r>
    </w:p>
    <w:p w14:paraId="462794F7">
      <w:pPr>
        <w:rPr>
          <w:rFonts w:hint="default" w:ascii="Times New Roman Bold" w:hAnsi="Times New Roman Bold" w:cs="Times New Roman Bold"/>
          <w:b/>
          <w:bCs/>
          <w:color w:val="000000"/>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2</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eastAsiaTheme="minorHAnsi"/>
          <w:b/>
          <w:bCs/>
          <w:lang w:val="en-US"/>
        </w:rPr>
        <w:t xml:space="preserve">There is a lack of synchronization procedure across the privacy settings for the subscriber, therefore </w:t>
      </w:r>
      <w:r>
        <w:rPr>
          <w:rFonts w:hint="default" w:ascii="Times New Roman Bold" w:hAnsi="Times New Roman Bold" w:cs="Times New Roman Bold"/>
          <w:b/>
          <w:bCs/>
          <w:color w:val="000000"/>
        </w:rPr>
        <w:t>checking both user consent and privacy profile would allow the network</w:t>
      </w:r>
      <w:r>
        <w:rPr>
          <w:rFonts w:hint="default" w:ascii="Times New Roman Bold" w:hAnsi="Times New Roman Bold" w:cs="Times New Roman Bold"/>
          <w:b/>
          <w:bCs/>
          <w:color w:val="000000"/>
          <w:lang w:val="en-US"/>
        </w:rPr>
        <w:t xml:space="preserve"> entity</w:t>
      </w:r>
      <w:r>
        <w:rPr>
          <w:rFonts w:hint="default" w:ascii="Times New Roman Bold" w:hAnsi="Times New Roman Bold" w:cs="Times New Roman Bold"/>
          <w:b/>
          <w:bCs/>
          <w:color w:val="000000"/>
        </w:rPr>
        <w:t xml:space="preserve"> to know that the user is OK both with its location being collected and shared by the network</w:t>
      </w:r>
      <w:r>
        <w:rPr>
          <w:rFonts w:hint="default" w:ascii="Times New Roman Bold" w:hAnsi="Times New Roman Bold" w:cs="Times New Roman Bold"/>
          <w:b/>
          <w:bCs/>
          <w:color w:val="000000"/>
          <w:lang w:val="en-US"/>
        </w:rPr>
        <w:t>.</w:t>
      </w:r>
    </w:p>
    <w:p w14:paraId="5768D48D">
      <w:pPr>
        <w:rPr>
          <w:rFonts w:hint="default" w:ascii="Times New Roman Bold" w:hAnsi="Times New Roman Bold" w:cs="Times New Roman Bold"/>
          <w:b/>
          <w:bCs/>
          <w:lang w:val="en-US"/>
        </w:rPr>
      </w:pPr>
      <w:r>
        <w:rPr>
          <w:rFonts w:hint="default" w:ascii="Times New Roman Bold" w:hAnsi="Times New Roman Bold" w:cs="Times New Roman Bold" w:eastAsiaTheme="minorHAnsi"/>
          <w:b/>
          <w:bCs/>
        </w:rPr>
        <w:t xml:space="preserve">Observation </w:t>
      </w:r>
      <w:r>
        <w:rPr>
          <w:rFonts w:hint="default" w:ascii="Times New Roman Bold" w:hAnsi="Times New Roman Bold" w:cs="Times New Roman Bold" w:eastAsiaTheme="minorHAnsi"/>
          <w:b/>
          <w:bCs/>
          <w:lang w:val="en-US"/>
        </w:rPr>
        <w:t>3</w:t>
      </w:r>
      <w:r>
        <w:rPr>
          <w:rFonts w:hint="default" w:ascii="Times New Roman Bold" w:hAnsi="Times New Roman Bold" w:cs="Times New Roman Bold" w:eastAsiaTheme="minorHAnsi"/>
          <w:b/>
          <w:bCs/>
        </w:rPr>
        <w:t xml:space="preserve">: </w:t>
      </w:r>
      <w:r>
        <w:rPr>
          <w:rFonts w:hint="default" w:ascii="Times New Roman Bold" w:hAnsi="Times New Roman Bold" w:cs="Times New Roman Bold" w:eastAsiaTheme="minorHAnsi"/>
          <w:b/>
          <w:bCs/>
          <w:lang w:val="en-US"/>
        </w:rPr>
        <w:t xml:space="preserve">SA3 already made conclusions in TR 33.784, it is suggested that user consent is always checked, regardless of privacy profile. SA2 and SA3 should align on the conclusions when progressing on AI/ML work. </w:t>
      </w:r>
    </w:p>
    <w:p w14:paraId="4826C9DC">
      <w:pPr>
        <w:rPr>
          <w:lang w:eastAsia="en-IN"/>
        </w:rPr>
      </w:pPr>
    </w:p>
    <w:p w14:paraId="131ACD19">
      <w:pPr>
        <w:pStyle w:val="2"/>
        <w:rPr>
          <w:szCs w:val="36"/>
        </w:rPr>
      </w:pPr>
      <w:r>
        <w:rPr>
          <w:szCs w:val="36"/>
        </w:rPr>
        <w:t>5</w:t>
      </w:r>
      <w:r>
        <w:rPr>
          <w:szCs w:val="36"/>
        </w:rPr>
        <w:tab/>
      </w:r>
      <w:r>
        <w:rPr>
          <w:szCs w:val="36"/>
        </w:rPr>
        <w:t>Conclusions and proposals</w:t>
      </w:r>
      <w:bookmarkEnd w:id="1"/>
    </w:p>
    <w:p w14:paraId="063AF933">
      <w:pPr>
        <w:rPr>
          <w:lang w:val="en-US"/>
        </w:rPr>
      </w:pPr>
      <w:r>
        <w:t xml:space="preserve">Based on </w:t>
      </w:r>
      <w:r>
        <w:rPr>
          <w:lang w:val="en-US"/>
        </w:rPr>
        <w:t xml:space="preserve">analysis above, below </w:t>
      </w:r>
      <w:r>
        <w:t xml:space="preserve">observations </w:t>
      </w:r>
      <w:r>
        <w:rPr>
          <w:lang w:val="en-US"/>
        </w:rPr>
        <w:t xml:space="preserve">are proposed: </w:t>
      </w:r>
    </w:p>
    <w:p w14:paraId="1F76C716">
      <w:pPr>
        <w:rPr>
          <w:lang w:val="en-US"/>
        </w:rPr>
      </w:pPr>
      <w:r>
        <w:rPr>
          <w:rFonts w:eastAsiaTheme="minorHAnsi"/>
          <w:b/>
          <w:bCs/>
        </w:rPr>
        <w:t xml:space="preserve">Observation </w:t>
      </w:r>
      <w:r>
        <w:rPr>
          <w:rFonts w:eastAsiaTheme="minorHAnsi"/>
          <w:b/>
          <w:bCs/>
          <w:lang w:val="en-US"/>
        </w:rPr>
        <w:t>1</w:t>
      </w:r>
      <w:r>
        <w:rPr>
          <w:rFonts w:eastAsiaTheme="minorHAnsi"/>
        </w:rPr>
        <w:t xml:space="preserve">: </w:t>
      </w:r>
      <w:r>
        <w:t xml:space="preserve">The user consent </w:t>
      </w:r>
      <w:r>
        <w:rPr>
          <w:lang w:val="en-US"/>
        </w:rPr>
        <w:t>and privacy profile are different mechanisms to preserve privacy and can not be mixed together.</w:t>
      </w:r>
    </w:p>
    <w:p w14:paraId="2AC05B41">
      <w:pPr>
        <w:rPr>
          <w:lang w:val="en-US"/>
        </w:rPr>
      </w:pPr>
      <w:r>
        <w:rPr>
          <w:rFonts w:eastAsiaTheme="minorHAnsi"/>
          <w:b/>
          <w:bCs/>
        </w:rPr>
        <w:t xml:space="preserve">Observation </w:t>
      </w:r>
      <w:r>
        <w:rPr>
          <w:rFonts w:eastAsiaTheme="minorHAnsi"/>
          <w:b/>
          <w:bCs/>
          <w:lang w:val="en-US"/>
        </w:rPr>
        <w:t>2</w:t>
      </w:r>
      <w:r>
        <w:rPr>
          <w:rFonts w:eastAsiaTheme="minorHAnsi"/>
        </w:rPr>
        <w:t xml:space="preserve">: </w:t>
      </w:r>
      <w:r>
        <w:rPr>
          <w:rFonts w:eastAsiaTheme="minorHAnsi"/>
          <w:lang w:val="en-US"/>
        </w:rPr>
        <w:t>There is a lack of synchronization procedure across the privacy settings for the subscriber, therefore</w:t>
      </w:r>
      <w:r>
        <w:rPr>
          <w:rFonts w:hint="default" w:eastAsiaTheme="minorHAnsi"/>
          <w:lang w:val="en-US"/>
        </w:rPr>
        <w:t xml:space="preserve"> </w:t>
      </w:r>
      <w:r>
        <w:rPr>
          <w:color w:val="000000"/>
        </w:rPr>
        <w:t>checking both user consent and privacy profile would allow the network</w:t>
      </w:r>
      <w:r>
        <w:rPr>
          <w:rFonts w:hint="default"/>
          <w:color w:val="000000"/>
          <w:lang w:val="en-US"/>
        </w:rPr>
        <w:t xml:space="preserve"> entity</w:t>
      </w:r>
      <w:r>
        <w:rPr>
          <w:color w:val="000000"/>
        </w:rPr>
        <w:t xml:space="preserve"> to know that the user is OK both with its location being collected and shared by the network</w:t>
      </w:r>
      <w:r>
        <w:rPr>
          <w:rFonts w:hint="default"/>
          <w:color w:val="000000"/>
          <w:lang w:val="en-US"/>
        </w:rPr>
        <w:t>.</w:t>
      </w:r>
    </w:p>
    <w:p w14:paraId="3079924C">
      <w:pPr>
        <w:rPr>
          <w:lang w:val="en-US"/>
        </w:rPr>
      </w:pPr>
      <w:r>
        <w:rPr>
          <w:rFonts w:eastAsiaTheme="minorHAnsi"/>
          <w:b/>
          <w:bCs/>
        </w:rPr>
        <w:t xml:space="preserve">Observation </w:t>
      </w:r>
      <w:r>
        <w:rPr>
          <w:rFonts w:eastAsiaTheme="minorHAnsi"/>
          <w:b/>
          <w:bCs/>
          <w:lang w:val="en-US"/>
        </w:rPr>
        <w:t>3</w:t>
      </w:r>
      <w:r>
        <w:rPr>
          <w:rFonts w:eastAsiaTheme="minorHAnsi"/>
        </w:rPr>
        <w:t xml:space="preserve">: </w:t>
      </w:r>
      <w:r>
        <w:rPr>
          <w:rFonts w:eastAsiaTheme="minorHAnsi"/>
          <w:lang w:val="en-US"/>
        </w:rPr>
        <w:t xml:space="preserve">SA3 already made conclusions in TR 33.784, it is suggested that user consent is always checked, regardless of privacy profile. SA2 and SA3 should align on the conclusions when progressing on AI/ML work. </w:t>
      </w:r>
    </w:p>
    <w:p w14:paraId="42EE449A">
      <w:pPr>
        <w:rPr>
          <w:rFonts w:ascii="Times New Roman Bold" w:hAnsi="Times New Roman Bold" w:cs="Times New Roman Bold"/>
          <w:b/>
          <w:bCs/>
          <w:lang w:val="en-US"/>
        </w:rPr>
      </w:pPr>
      <w:r>
        <w:rPr>
          <w:rFonts w:hint="default" w:ascii="Times New Roman Bold" w:hAnsi="Times New Roman Bold" w:cs="Times New Roman Bold"/>
          <w:b/>
          <w:bCs/>
          <w:lang w:val="en-US"/>
        </w:rPr>
        <w:t xml:space="preserve">Proposal: </w:t>
      </w:r>
      <w:r>
        <w:rPr>
          <w:rFonts w:ascii="Times New Roman Bold" w:hAnsi="Times New Roman Bold" w:cs="Times New Roman Bold"/>
          <w:b/>
          <w:bCs/>
          <w:lang w:val="en-US"/>
        </w:rPr>
        <w:t>It is proposed based the observation above, SA3 sent the reply LS i</w:t>
      </w:r>
      <w:r>
        <w:rPr>
          <w:rFonts w:ascii="Times New Roman Bold" w:hAnsi="Times New Roman Bold" w:cs="Times New Roman Bold"/>
          <w:b/>
          <w:bCs/>
          <w:highlight w:val="none"/>
          <w:lang w:val="en-US"/>
        </w:rPr>
        <w:t>n S3-25</w:t>
      </w:r>
      <w:r>
        <w:rPr>
          <w:rFonts w:hint="default" w:ascii="Times New Roman Bold" w:hAnsi="Times New Roman Bold" w:cs="Times New Roman Bold"/>
          <w:b/>
          <w:bCs/>
          <w:highlight w:val="none"/>
          <w:lang w:val="en-US"/>
        </w:rPr>
        <w:t>0503</w:t>
      </w:r>
      <w:r>
        <w:rPr>
          <w:rFonts w:ascii="Times New Roman Bold" w:hAnsi="Times New Roman Bold" w:cs="Times New Roman Bold"/>
          <w:b/>
          <w:bCs/>
          <w:highlight w:val="none"/>
          <w:lang w:val="en-US"/>
        </w:rPr>
        <w:t xml:space="preserve"> to</w:t>
      </w:r>
      <w:r>
        <w:rPr>
          <w:rFonts w:ascii="Times New Roman Bold" w:hAnsi="Times New Roman Bold" w:cs="Times New Roman Bold"/>
          <w:b/>
          <w:bCs/>
          <w:lang w:val="en-US"/>
        </w:rPr>
        <w:t xml:space="preserve"> SA2, indicating that when the privacy profile is checked, the user consent shall also be checked. </w:t>
      </w:r>
    </w:p>
    <w:p w14:paraId="49CA9D5D">
      <w:pPr>
        <w:pStyle w:val="157"/>
        <w:ind w:left="0"/>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Aptos">
    <w:altName w:val="苹方-简"/>
    <w:panose1 w:val="020B0004020202020204"/>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FFE59"/>
    <w:multiLevelType w:val="singleLevel"/>
    <w:tmpl w:val="FFDFFE59"/>
    <w:lvl w:ilvl="0" w:tentative="0">
      <w:start w:val="1"/>
      <w:numFmt w:val="decimal"/>
      <w:suff w:val="space"/>
      <w:lvlText w:val="%1)"/>
      <w:lvlJc w:val="left"/>
      <w:rPr>
        <w:rFonts w:hint="default" w:ascii="Times New Roman" w:hAnsi="Times New Roman" w:cs="Times New Roman"/>
        <w:b w:val="0"/>
        <w:bCs w:val="0"/>
      </w:rPr>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ZWY2ZjYwZDdhODZkZmU4NDg1MjkwMjk5MmViMDU5MjU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703072"/>
    <w:rsid w:val="00705B4C"/>
    <w:rsid w:val="00707C42"/>
    <w:rsid w:val="0071254E"/>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F0D80"/>
    <w:rsid w:val="00BF2C84"/>
    <w:rsid w:val="00C01521"/>
    <w:rsid w:val="00C022E3"/>
    <w:rsid w:val="00C048A9"/>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C3C2E"/>
    <w:rsid w:val="00FC3D37"/>
    <w:rsid w:val="00FC4798"/>
    <w:rsid w:val="00FD1A93"/>
    <w:rsid w:val="00FD39C3"/>
    <w:rsid w:val="00FD6542"/>
    <w:rsid w:val="00FD7211"/>
    <w:rsid w:val="00FF0D2E"/>
    <w:rsid w:val="00FF0EFC"/>
    <w:rsid w:val="00FF1276"/>
    <w:rsid w:val="00FF7558"/>
    <w:rsid w:val="1FFFA3D9"/>
    <w:rsid w:val="2B324E98"/>
    <w:rsid w:val="38B92508"/>
    <w:rsid w:val="4FF76505"/>
    <w:rsid w:val="6DAB400E"/>
    <w:rsid w:val="7163E471"/>
    <w:rsid w:val="76BB7451"/>
    <w:rsid w:val="77D797C5"/>
    <w:rsid w:val="7D0211B1"/>
    <w:rsid w:val="7F658916"/>
    <w:rsid w:val="7FFF8D72"/>
    <w:rsid w:val="AFA9B250"/>
    <w:rsid w:val="B73D975E"/>
    <w:rsid w:val="BBCD6F99"/>
    <w:rsid w:val="F45FB05D"/>
    <w:rsid w:val="F95F8381"/>
    <w:rsid w:val="FDFE23F4"/>
    <w:rsid w:val="FEEF1DB6"/>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99"/>
    <w:rPr>
      <w:sz w:val="24"/>
      <w:szCs w:val="24"/>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Header Char"/>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Body Text Char"/>
    <w:link w:val="16"/>
    <w:uiPriority w:val="0"/>
    <w:rPr>
      <w:rFonts w:ascii="Times New Roman" w:hAnsi="Times New Roman"/>
      <w:lang w:eastAsia="en-US"/>
    </w:rPr>
  </w:style>
  <w:style w:type="character" w:customStyle="1" w:styleId="139">
    <w:name w:val="Body Text 2 Char"/>
    <w:link w:val="17"/>
    <w:uiPriority w:val="0"/>
    <w:rPr>
      <w:rFonts w:ascii="Times New Roman" w:hAnsi="Times New Roman"/>
      <w:lang w:eastAsia="en-US"/>
    </w:rPr>
  </w:style>
  <w:style w:type="character" w:customStyle="1" w:styleId="140">
    <w:name w:val="Body Text 3 Char"/>
    <w:link w:val="18"/>
    <w:uiPriority w:val="0"/>
    <w:rPr>
      <w:rFonts w:ascii="Times New Roman" w:hAnsi="Times New Roman"/>
      <w:sz w:val="16"/>
      <w:szCs w:val="16"/>
      <w:lang w:eastAsia="en-US"/>
    </w:rPr>
  </w:style>
  <w:style w:type="character" w:customStyle="1" w:styleId="141">
    <w:name w:val="Body Text First Indent Char"/>
    <w:basedOn w:val="138"/>
    <w:link w:val="19"/>
    <w:uiPriority w:val="0"/>
    <w:rPr>
      <w:rFonts w:ascii="Times New Roman" w:hAnsi="Times New Roman"/>
      <w:lang w:eastAsia="en-US"/>
    </w:rPr>
  </w:style>
  <w:style w:type="character" w:customStyle="1" w:styleId="142">
    <w:name w:val="Body Text Indent Char"/>
    <w:link w:val="20"/>
    <w:uiPriority w:val="0"/>
    <w:rPr>
      <w:rFonts w:ascii="Times New Roman" w:hAnsi="Times New Roman"/>
      <w:lang w:eastAsia="en-US"/>
    </w:rPr>
  </w:style>
  <w:style w:type="character" w:customStyle="1" w:styleId="143">
    <w:name w:val="Body Text First Indent 2 Char"/>
    <w:basedOn w:val="142"/>
    <w:link w:val="21"/>
    <w:uiPriority w:val="0"/>
    <w:rPr>
      <w:rFonts w:ascii="Times New Roman" w:hAnsi="Times New Roman"/>
      <w:lang w:eastAsia="en-US"/>
    </w:rPr>
  </w:style>
  <w:style w:type="character" w:customStyle="1" w:styleId="144">
    <w:name w:val="Body Text Indent 2 Char"/>
    <w:link w:val="22"/>
    <w:uiPriority w:val="0"/>
    <w:rPr>
      <w:rFonts w:ascii="Times New Roman" w:hAnsi="Times New Roman"/>
      <w:lang w:eastAsia="en-US"/>
    </w:rPr>
  </w:style>
  <w:style w:type="character" w:customStyle="1" w:styleId="145">
    <w:name w:val="Body Text Indent 3 Char"/>
    <w:link w:val="23"/>
    <w:uiPriority w:val="0"/>
    <w:rPr>
      <w:rFonts w:ascii="Times New Roman" w:hAnsi="Times New Roman"/>
      <w:sz w:val="16"/>
      <w:szCs w:val="16"/>
      <w:lang w:eastAsia="en-US"/>
    </w:rPr>
  </w:style>
  <w:style w:type="character" w:customStyle="1" w:styleId="146">
    <w:name w:val="Closing Char"/>
    <w:link w:val="25"/>
    <w:uiPriority w:val="0"/>
    <w:rPr>
      <w:rFonts w:ascii="Times New Roman" w:hAnsi="Times New Roman"/>
      <w:lang w:eastAsia="en-US"/>
    </w:rPr>
  </w:style>
  <w:style w:type="character" w:customStyle="1" w:styleId="147">
    <w:name w:val="Comment Text Char"/>
    <w:link w:val="27"/>
    <w:uiPriority w:val="99"/>
    <w:rPr>
      <w:rFonts w:ascii="Times New Roman" w:hAnsi="Times New Roman"/>
      <w:lang w:eastAsia="en-US"/>
    </w:rPr>
  </w:style>
  <w:style w:type="character" w:customStyle="1" w:styleId="148">
    <w:name w:val="Comment Subject Char"/>
    <w:link w:val="28"/>
    <w:uiPriority w:val="0"/>
    <w:rPr>
      <w:rFonts w:ascii="Times New Roman" w:hAnsi="Times New Roman"/>
      <w:b/>
      <w:bCs/>
      <w:lang w:eastAsia="en-US"/>
    </w:rPr>
  </w:style>
  <w:style w:type="character" w:customStyle="1" w:styleId="149">
    <w:name w:val="Date Char"/>
    <w:link w:val="29"/>
    <w:uiPriority w:val="0"/>
    <w:rPr>
      <w:rFonts w:ascii="Times New Roman" w:hAnsi="Times New Roman"/>
      <w:lang w:eastAsia="en-US"/>
    </w:rPr>
  </w:style>
  <w:style w:type="character" w:customStyle="1" w:styleId="150">
    <w:name w:val="Document Map Char"/>
    <w:link w:val="30"/>
    <w:uiPriority w:val="0"/>
    <w:rPr>
      <w:rFonts w:ascii="Segoe UI" w:hAnsi="Segoe UI" w:cs="Segoe UI"/>
      <w:sz w:val="16"/>
      <w:szCs w:val="16"/>
      <w:lang w:eastAsia="en-US"/>
    </w:rPr>
  </w:style>
  <w:style w:type="character" w:customStyle="1" w:styleId="151">
    <w:name w:val="Email Signature Char"/>
    <w:link w:val="31"/>
    <w:uiPriority w:val="0"/>
    <w:rPr>
      <w:rFonts w:ascii="Times New Roman" w:hAnsi="Times New Roman"/>
      <w:lang w:eastAsia="en-US"/>
    </w:rPr>
  </w:style>
  <w:style w:type="character" w:customStyle="1" w:styleId="152">
    <w:name w:val="Endnote Text Char"/>
    <w:link w:val="33"/>
    <w:uiPriority w:val="0"/>
    <w:rPr>
      <w:rFonts w:ascii="Times New Roman" w:hAnsi="Times New Roman"/>
      <w:lang w:eastAsia="en-US"/>
    </w:rPr>
  </w:style>
  <w:style w:type="character" w:customStyle="1" w:styleId="153">
    <w:name w:val="HTML Address Char"/>
    <w:link w:val="41"/>
    <w:uiPriority w:val="0"/>
    <w:rPr>
      <w:rFonts w:ascii="Times New Roman" w:hAnsi="Times New Roman"/>
      <w:i/>
      <w:iCs/>
      <w:lang w:eastAsia="en-US"/>
    </w:rPr>
  </w:style>
  <w:style w:type="character" w:customStyle="1" w:styleId="154">
    <w:name w:val="HTML Preformatted Char"/>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Macro Text Char"/>
    <w:link w:val="74"/>
    <w:uiPriority w:val="0"/>
    <w:rPr>
      <w:rFonts w:ascii="Courier New" w:hAnsi="Courier New" w:cs="Courier New"/>
      <w:lang w:eastAsia="en-US"/>
    </w:rPr>
  </w:style>
  <w:style w:type="character" w:customStyle="1" w:styleId="159">
    <w:name w:val="Message Header Char"/>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78"/>
    <w:uiPriority w:val="0"/>
    <w:rPr>
      <w:rFonts w:ascii="Times New Roman" w:hAnsi="Times New Roman"/>
      <w:lang w:eastAsia="en-US"/>
    </w:rPr>
  </w:style>
  <w:style w:type="character" w:customStyle="1" w:styleId="162">
    <w:name w:val="Plain Text Char"/>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uiPriority w:val="29"/>
    <w:rPr>
      <w:rFonts w:ascii="Times New Roman" w:hAnsi="Times New Roman"/>
      <w:i/>
      <w:iCs/>
      <w:color w:val="404040"/>
      <w:lang w:eastAsia="en-US"/>
    </w:rPr>
  </w:style>
  <w:style w:type="character" w:customStyle="1" w:styleId="165">
    <w:name w:val="Salutation Char"/>
    <w:link w:val="80"/>
    <w:uiPriority w:val="0"/>
    <w:rPr>
      <w:rFonts w:ascii="Times New Roman" w:hAnsi="Times New Roman"/>
      <w:lang w:eastAsia="en-US"/>
    </w:rPr>
  </w:style>
  <w:style w:type="character" w:customStyle="1" w:styleId="166">
    <w:name w:val="Signature Char"/>
    <w:link w:val="81"/>
    <w:uiPriority w:val="0"/>
    <w:rPr>
      <w:rFonts w:ascii="Times New Roman" w:hAnsi="Times New Roman"/>
      <w:lang w:eastAsia="en-US"/>
    </w:rPr>
  </w:style>
  <w:style w:type="character" w:customStyle="1" w:styleId="167">
    <w:name w:val="Subtitle Char"/>
    <w:link w:val="83"/>
    <w:uiPriority w:val="0"/>
    <w:rPr>
      <w:rFonts w:ascii="Calibri Light" w:hAnsi="Calibri Light" w:eastAsia="Times New Roman" w:cs="Times New Roman"/>
      <w:sz w:val="24"/>
      <w:szCs w:val="24"/>
      <w:lang w:eastAsia="en-US"/>
    </w:rPr>
  </w:style>
  <w:style w:type="character" w:customStyle="1" w:styleId="168">
    <w:name w:val="Title Char"/>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DengXian"/>
      <w:lang w:eastAsia="en-US"/>
    </w:rPr>
  </w:style>
  <w:style w:type="paragraph" w:customStyle="1" w:styleId="176">
    <w:name w:val="ref"/>
    <w:basedOn w:val="1"/>
    <w:link w:val="175"/>
    <w:qFormat/>
    <w:uiPriority w:val="0"/>
    <w:pPr>
      <w:ind w:left="720" w:hanging="720"/>
    </w:pPr>
    <w:rPr>
      <w:rFonts w:eastAsia="DengXian"/>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Heading 3 Char"/>
    <w:link w:val="4"/>
    <w:uiPriority w:val="0"/>
    <w:rPr>
      <w:rFonts w:ascii="Arial" w:hAnsi="Arial"/>
      <w:sz w:val="28"/>
      <w:lang w:val="en-GB" w:eastAsia="en-US"/>
    </w:rPr>
  </w:style>
  <w:style w:type="character" w:customStyle="1" w:styleId="183">
    <w:name w:val="Heading 4 Char"/>
    <w:link w:val="5"/>
    <w:uiPriority w:val="0"/>
    <w:rPr>
      <w:rFonts w:ascii="Arial" w:hAnsi="Arial"/>
      <w:sz w:val="24"/>
      <w:lang w:val="en-GB" w:eastAsia="en-US"/>
    </w:rPr>
  </w:style>
  <w:style w:type="character" w:customStyle="1" w:styleId="184">
    <w:name w:val="Heading 1 Char"/>
    <w:link w:val="2"/>
    <w:uiPriority w:val="0"/>
    <w:rPr>
      <w:rFonts w:ascii="Arial" w:hAnsi="Arial"/>
      <w:sz w:val="36"/>
      <w:lang w:val="en-GB" w:eastAsia="en-US"/>
    </w:rPr>
  </w:style>
  <w:style w:type="character" w:customStyle="1" w:styleId="185">
    <w:name w:val="Heading 2 Char"/>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Company>3GPP Support Team</Company>
  <Pages>3</Pages>
  <Words>1240</Words>
  <Characters>7074</Characters>
  <Lines>58</Lines>
  <Paragraphs>16</Paragraphs>
  <TotalTime>45</TotalTime>
  <ScaleCrop>false</ScaleCrop>
  <LinksUpToDate>false</LinksUpToDate>
  <CharactersWithSpaces>8298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2025-02-09T03:42:00Z</dcterms:created>
  <dc:creator>Michael Sanders, John M Meredith</dc:creator>
  <cp:lastModifiedBy>Apple</cp:lastModifiedBy>
  <cp:lastPrinted>1900-01-02T23:00:00Z</cp:lastPrinted>
  <dcterms:modified xsi:type="dcterms:W3CDTF">2025-02-10T13:47:02Z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1033-6.11.0.8885</vt:lpwstr>
  </property>
  <property fmtid="{D5CDD505-2E9C-101B-9397-08002B2CF9AE}" pid="9" name="ICV">
    <vt:lpwstr>CCA9A2064904ECA9BF87A567C70461D9_42</vt:lpwstr>
  </property>
</Properties>
</file>